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ˎ̥" w:hAnsi="ˎ̥" w:eastAsia="宋体"/>
          <w:b/>
          <w:sz w:val="32"/>
          <w:szCs w:val="32"/>
          <w:lang w:eastAsia="zh-CN"/>
        </w:rPr>
      </w:pPr>
      <w:r>
        <w:rPr>
          <w:rFonts w:hint="eastAsia" w:ascii="ˎ̥" w:hAnsi="ˎ̥"/>
          <w:b/>
          <w:sz w:val="32"/>
          <w:szCs w:val="32"/>
        </w:rPr>
        <w:t>关于</w:t>
      </w:r>
      <w:r>
        <w:rPr>
          <w:rFonts w:ascii="ˎ̥" w:hAnsi="ˎ̥"/>
          <w:b/>
          <w:sz w:val="32"/>
          <w:szCs w:val="32"/>
        </w:rPr>
        <w:t>20</w:t>
      </w:r>
      <w:r>
        <w:rPr>
          <w:rFonts w:hint="eastAsia" w:ascii="ˎ̥" w:hAnsi="ˎ̥"/>
          <w:b/>
          <w:sz w:val="32"/>
          <w:szCs w:val="32"/>
          <w:lang w:val="en-US" w:eastAsia="zh-CN"/>
        </w:rPr>
        <w:t>21</w:t>
      </w:r>
      <w:r>
        <w:rPr>
          <w:rFonts w:hint="eastAsia" w:ascii="ˎ̥" w:hAnsi="ˎ̥"/>
          <w:b/>
          <w:sz w:val="32"/>
          <w:szCs w:val="32"/>
        </w:rPr>
        <w:t>年度“研究生创新培养专项”立项的</w:t>
      </w:r>
      <w:r>
        <w:rPr>
          <w:rFonts w:hint="eastAsia" w:ascii="ˎ̥" w:hAnsi="ˎ̥"/>
          <w:b/>
          <w:sz w:val="32"/>
          <w:szCs w:val="32"/>
          <w:lang w:val="en-US" w:eastAsia="zh-CN"/>
        </w:rPr>
        <w:t>通知</w:t>
      </w:r>
    </w:p>
    <w:p>
      <w:pPr>
        <w:spacing w:line="360" w:lineRule="auto"/>
        <w:ind w:firstLine="640" w:firstLineChars="200"/>
        <w:jc w:val="left"/>
        <w:rPr>
          <w:rFonts w:ascii="ˎ̥" w:hAnsi="ˎ̥"/>
          <w:sz w:val="28"/>
          <w:szCs w:val="28"/>
        </w:rPr>
      </w:pPr>
    </w:p>
    <w:p>
      <w:pPr>
        <w:spacing w:line="360" w:lineRule="auto"/>
        <w:ind w:firstLine="640" w:firstLineChars="200"/>
        <w:rPr>
          <w:rFonts w:hint="default" w:ascii="ˎ̥" w:hAnsi="ˎ̥" w:eastAsia="宋体"/>
          <w:spacing w:val="0"/>
          <w:sz w:val="28"/>
          <w:szCs w:val="28"/>
          <w:lang w:val="en-US" w:eastAsia="zh-CN"/>
        </w:rPr>
      </w:pPr>
      <w:r>
        <w:rPr>
          <w:rFonts w:hint="eastAsia" w:ascii="宋体" w:hAnsi="宋体" w:eastAsia="宋体" w:cs="宋体"/>
          <w:sz w:val="28"/>
          <w:szCs w:val="28"/>
        </w:rPr>
        <w:t>为鼓励和培育研究生科研创新，锻炼科研思维和实践能力，学校进行了2021年度校级“研究生创新培养专项”的申报与评审工作。经形式审查与专家组评审，公示后无异议，此次共92个项目作为2021年度校级“研究生创新培养专项立项”，其中学校资助89项，立项金额共261万元，另有3个项目由上海健康医学院资助。</w:t>
      </w:r>
      <w:r>
        <w:rPr>
          <w:rFonts w:hint="eastAsia" w:ascii="宋体" w:hAnsi="宋体" w:eastAsia="宋体" w:cs="宋体"/>
          <w:sz w:val="28"/>
          <w:szCs w:val="28"/>
        </w:rPr>
        <w:br w:type="textWrapping"/>
      </w:r>
      <w:r>
        <w:rPr>
          <w:rFonts w:hint="eastAsia" w:ascii="宋体" w:hAnsi="宋体" w:eastAsia="宋体" w:cs="宋体"/>
          <w:sz w:val="28"/>
          <w:szCs w:val="28"/>
        </w:rPr>
        <w:t>  “研究生创新培养项目”分文科项目和理科项目，文科类项目每项资助1万元，理科类项目每项资助3万元，2021年12月进行中期检查</w:t>
      </w:r>
      <w:r>
        <w:rPr>
          <w:rFonts w:hint="eastAsia" w:cs="宋体"/>
          <w:sz w:val="28"/>
          <w:szCs w:val="28"/>
          <w:lang w:eastAsia="zh-CN"/>
        </w:rPr>
        <w:t>，</w:t>
      </w:r>
      <w:r>
        <w:rPr>
          <w:rFonts w:hint="eastAsia" w:cs="宋体"/>
          <w:sz w:val="28"/>
          <w:szCs w:val="28"/>
          <w:lang w:val="en-US" w:eastAsia="zh-CN"/>
        </w:rPr>
        <w:t>执行年限1.5年者，2022年5月结题考核，执行年限2年者,2022年12月进行结题考核。</w:t>
      </w:r>
    </w:p>
    <w:p>
      <w:pPr>
        <w:spacing w:line="360" w:lineRule="auto"/>
        <w:ind w:firstLine="560" w:firstLineChars="200"/>
        <w:jc w:val="right"/>
        <w:rPr>
          <w:rFonts w:ascii="ˎ̥" w:hAnsi="ˎ̥"/>
          <w:spacing w:val="0"/>
          <w:sz w:val="28"/>
          <w:szCs w:val="28"/>
        </w:rPr>
      </w:pPr>
      <w:r>
        <w:rPr>
          <w:rFonts w:hint="eastAsia" w:ascii="ˎ̥" w:hAnsi="ˎ̥"/>
          <w:spacing w:val="0"/>
          <w:sz w:val="28"/>
          <w:szCs w:val="28"/>
        </w:rPr>
        <w:t>上海中医药大学研究生院</w:t>
      </w:r>
    </w:p>
    <w:p>
      <w:pPr>
        <w:spacing w:line="360" w:lineRule="auto"/>
        <w:ind w:firstLine="560" w:firstLineChars="200"/>
        <w:jc w:val="right"/>
        <w:rPr>
          <w:rFonts w:hint="eastAsia" w:ascii="ˎ̥" w:hAnsi="ˎ̥"/>
          <w:spacing w:val="0"/>
          <w:sz w:val="28"/>
          <w:szCs w:val="28"/>
        </w:rPr>
      </w:pPr>
      <w:r>
        <w:rPr>
          <w:rFonts w:hint="eastAsia" w:ascii="ˎ̥" w:hAnsi="ˎ̥"/>
          <w:spacing w:val="0"/>
          <w:sz w:val="28"/>
          <w:szCs w:val="28"/>
        </w:rPr>
        <w:t>20</w:t>
      </w:r>
      <w:r>
        <w:rPr>
          <w:rFonts w:hint="eastAsia" w:ascii="ˎ̥" w:hAnsi="ˎ̥"/>
          <w:spacing w:val="0"/>
          <w:sz w:val="28"/>
          <w:szCs w:val="28"/>
          <w:lang w:val="en-US" w:eastAsia="zh-CN"/>
        </w:rPr>
        <w:t>21</w:t>
      </w:r>
      <w:r>
        <w:rPr>
          <w:rFonts w:hint="eastAsia" w:ascii="ˎ̥" w:hAnsi="ˎ̥"/>
          <w:spacing w:val="0"/>
          <w:sz w:val="28"/>
          <w:szCs w:val="28"/>
        </w:rPr>
        <w:t>年</w:t>
      </w:r>
      <w:r>
        <w:rPr>
          <w:rFonts w:hint="eastAsia" w:ascii="ˎ̥" w:hAnsi="ˎ̥"/>
          <w:spacing w:val="0"/>
          <w:sz w:val="28"/>
          <w:szCs w:val="28"/>
          <w:lang w:val="en-US" w:eastAsia="zh-CN"/>
        </w:rPr>
        <w:t>12</w:t>
      </w:r>
      <w:r>
        <w:rPr>
          <w:rFonts w:hint="eastAsia" w:ascii="ˎ̥" w:hAnsi="ˎ̥"/>
          <w:spacing w:val="0"/>
          <w:sz w:val="28"/>
          <w:szCs w:val="28"/>
        </w:rPr>
        <w:t>月</w:t>
      </w:r>
      <w:r>
        <w:rPr>
          <w:rFonts w:hint="eastAsia" w:ascii="ˎ̥" w:hAnsi="ˎ̥"/>
          <w:spacing w:val="0"/>
          <w:sz w:val="28"/>
          <w:szCs w:val="28"/>
          <w:lang w:val="en-US" w:eastAsia="zh-CN"/>
        </w:rPr>
        <w:t>21</w:t>
      </w:r>
      <w:bookmarkStart w:id="0" w:name="_GoBack"/>
      <w:bookmarkEnd w:id="0"/>
      <w:r>
        <w:rPr>
          <w:rFonts w:hint="eastAsia" w:ascii="ˎ̥" w:hAnsi="ˎ̥"/>
          <w:spacing w:val="0"/>
          <w:sz w:val="28"/>
          <w:szCs w:val="28"/>
        </w:rPr>
        <w:t>日</w:t>
      </w:r>
    </w:p>
    <w:p>
      <w:pPr>
        <w:spacing w:line="360" w:lineRule="auto"/>
        <w:ind w:firstLine="560" w:firstLineChars="200"/>
        <w:jc w:val="right"/>
        <w:rPr>
          <w:rFonts w:hint="eastAsia" w:ascii="ˎ̥" w:hAnsi="ˎ̥"/>
          <w:spacing w:val="0"/>
          <w:sz w:val="28"/>
          <w:szCs w:val="28"/>
        </w:rPr>
      </w:pPr>
    </w:p>
    <w:p>
      <w:pPr>
        <w:spacing w:line="360" w:lineRule="auto"/>
        <w:jc w:val="both"/>
        <w:rPr>
          <w:rFonts w:hint="eastAsia" w:ascii="ˎ̥" w:hAnsi="ˎ̥"/>
          <w:spacing w:val="0"/>
          <w:sz w:val="28"/>
          <w:szCs w:val="28"/>
        </w:rPr>
      </w:pPr>
    </w:p>
    <w:p>
      <w:pPr>
        <w:widowControl/>
        <w:jc w:val="left"/>
        <w:rPr>
          <w:rFonts w:ascii="ˎ̥" w:hAnsi="ˎ̥"/>
        </w:rPr>
      </w:pPr>
      <w:r>
        <w:rPr>
          <w:rFonts w:ascii="ˎ̥" w:hAnsi="ˎ̥"/>
        </w:rPr>
        <w:br w:type="page"/>
      </w:r>
    </w:p>
    <w:p>
      <w:pPr>
        <w:spacing w:line="360" w:lineRule="auto"/>
        <w:ind w:right="160" w:firstLine="562" w:firstLineChars="200"/>
        <w:jc w:val="center"/>
        <w:rPr>
          <w:rFonts w:hint="eastAsia" w:ascii="ˎ̥" w:hAnsi="ˎ̥"/>
          <w:b/>
        </w:rPr>
      </w:pPr>
      <w:r>
        <w:rPr>
          <w:rFonts w:hint="eastAsia" w:ascii="ˎ̥" w:hAnsi="ˎ̥"/>
          <w:b/>
        </w:rPr>
        <w:t>附件：20</w:t>
      </w:r>
      <w:r>
        <w:rPr>
          <w:rFonts w:hint="eastAsia" w:ascii="ˎ̥" w:hAnsi="ˎ̥"/>
          <w:b/>
          <w:lang w:val="en-US" w:eastAsia="zh-CN"/>
        </w:rPr>
        <w:t>21</w:t>
      </w:r>
      <w:r>
        <w:rPr>
          <w:rFonts w:hint="eastAsia" w:ascii="ˎ̥" w:hAnsi="ˎ̥"/>
          <w:b/>
        </w:rPr>
        <w:t>年度上海中医药大学“研究生创新培养专项”</w:t>
      </w:r>
    </w:p>
    <w:tbl>
      <w:tblPr>
        <w:tblStyle w:val="7"/>
        <w:tblW w:w="5338" w:type="pct"/>
        <w:tblInd w:w="0" w:type="dxa"/>
        <w:shd w:val="clear" w:color="auto" w:fill="auto"/>
        <w:tblLayout w:type="fixed"/>
        <w:tblCellMar>
          <w:top w:w="0" w:type="dxa"/>
          <w:left w:w="0" w:type="dxa"/>
          <w:bottom w:w="0" w:type="dxa"/>
          <w:right w:w="0" w:type="dxa"/>
        </w:tblCellMar>
      </w:tblPr>
      <w:tblGrid>
        <w:gridCol w:w="1221"/>
        <w:gridCol w:w="2265"/>
        <w:gridCol w:w="990"/>
        <w:gridCol w:w="1275"/>
        <w:gridCol w:w="1290"/>
        <w:gridCol w:w="765"/>
        <w:gridCol w:w="1095"/>
      </w:tblGrid>
      <w:tr>
        <w:tblPrEx>
          <w:shd w:val="clear" w:color="auto" w:fill="auto"/>
          <w:tblCellMar>
            <w:top w:w="0" w:type="dxa"/>
            <w:left w:w="0" w:type="dxa"/>
            <w:bottom w:w="0" w:type="dxa"/>
            <w:right w:w="0" w:type="dxa"/>
          </w:tblCellMar>
        </w:tblPrEx>
        <w:trPr>
          <w:trHeight w:val="81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序号</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项目名称</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负责人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学号</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所属部门</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金额（万元）</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项目执行时间（年）</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Y2021001</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靶向活性过氧基团识别天然产物及其生物合成研究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王起文</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12019188</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创新中药研究院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Y2021002</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基于静息态 BOLD-fMRI研究巨刺法对全膝关节置换术后镇痛作用的脑中枢机制</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赵翅</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12019156</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光华临床医学院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Y2021003</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黄连素靶向USP14调节T2DM肝脏糖异生作用及机制研究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何竹青</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12019003</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基础医学院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Y2021004</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反式桂皮醛通过ERK途径干预苯肾上腺素引起的心肌肥大的机制研究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钱东东</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12019016</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基础医学院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Y2021005</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 xml:space="preserve">环黄芪醇通过NF-κB/Nrf2通路调节M1、M2型小胶质细胞极化治疗脑缺血后神经炎症的作用机制 </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陈婷</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22019032</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基础医学院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Y2021006</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靶向STAT3的中药小分子PROTAC药物设计及抗肿瘤作用研究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靳金美</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12019162</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交叉科学研究院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Y2021007</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基于线粒体功能探讨茵陈蒿汤和黄芪汤治疗胆汁淤积性肝损伤的效应机制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王伊雯</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22019446</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交叉科学研究院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Y2021008</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源于中药的儿茶酚-氧-甲基转移酶抑制剂的发现及构效关系研究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范玉凡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22019470</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交叉科学研究院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Y2021009</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红参提取物通过激动肠道TGR5促进肠粘膜屏障修复而改善肥胖小鼠代谢表型的作用机制研究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庄童喜</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22019487</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交叉科学研究院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Y2021010</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耳迷走神经刺激治疗卒中后认知功能障碍的作用及脑机制初探</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赵敬军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12019157</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康复医学院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Y2021011</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新冠疫情对我国中药产品国际贸易影响研究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周志伟</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22019496</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科技人文研究院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Y2021012</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化斑汤治疗炎症因子风暴诱导的急性肺损伤的作用机制研究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周伟</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12019059</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龙华临床医学院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Y2021013</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身痛逐瘀汤调控淋巴管功能促进骨折愈合的疗效及机制研究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郑扬康</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12019061</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龙华临床医学院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Y2021014</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基于祛瘀解毒益气法则调节循环NETs形成干预肺部感染脓毒症的研究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姚妙恩</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12019082</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龙华临床医学院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Y2021015</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黄芪桂枝五物汤调控淋巴管系统功能治疗TNF-tg小鼠心肌肥大机制的研究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王怿</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22019200</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龙华临床医学院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Y2021016</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茯苓酸（PA）诱导线粒体自噬抗肺癌分子机制研究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袁淑影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22019220</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龙华临床医学院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Y2021017</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冠心康对泡沫细胞胆固醇逆转运的作用机制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丁洁</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22019227</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龙华临床医学院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Y2021018</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强心饮通过抑制PI3K/Akt/mTOR介导的自噬改善肿瘤免疫治疗心脏毒性的研究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张凯玉</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22019229</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龙华临床医学院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Y2021019</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果糖转运子GLUT5靶点药物高效筛选及其抗肿瘤机研究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王凤英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22019231</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龙华临床医学院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Y2021020</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补中益气丸改善消化道恶性肿瘤患者食欲的临床研究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钱佳南</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72019005</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龙华临床医学院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Y2021021</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基于Smand7信号通路探讨华蟾素通过抑制化疗肝损伤介导的肝星状细胞激活抗结肠癌肝转移的作用机制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汪玉倩</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22019371</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普陀临床医学院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Y2021022</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电针抑制TRPV1的表达对脓毒症肠道菌群的作用机制研究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耿欢</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22019427</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市七临床医学院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96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Y2021023</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基于TLR-4/NF-κB通路探讨阳和汤抑制胆囊癌细胞局部侵袭和远处转移的机制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徐星</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22019431</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市七临床医学院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Y2021024</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升麻素通过Wnt/β-catenin/NF-κB 通路抑制血栓闭塞性脉管炎炎性反应作用机制研究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杨聪聪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12019153</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市中西医结合临床医学院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Y2021025</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探讨不同强度电针对糖尿病伤口愈合的作用</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孙漫沁</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22019360</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市中医临床医学院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Y2021026</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探讨去甲猪毛菜碱通过调控TAB1介导的p38MAPK信号通路抑制氧化应激诱导的心肌细胞凋亡的机制研究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陈静</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22019361</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市中医临床医学院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Y2021027</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基于LINC01419分子机制研究探究肝积方抗肝癌作用机制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于笑笑</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12019089</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曙光临床医学院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Y2021028</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基于“一气周流”理论运用化石下气汤代茶饮治疗胆石症的临床研究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宋敬茹</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12019102</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曙光临床医学院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Y2021029</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石氏伤科手法诊治膝骨关节炎的临床操作技术规范研究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潘富伟</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12019107</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曙光临床医学院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96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Y2021030</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当归芍药散通过抑制肝NLRP3/Caspase1/IL-1β信号通路治疗非酒精性脂肪性肝病的作用机制研究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安梓铭</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22019242</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曙光临床医学院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Y2021031</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基于“络病”理论探究艾灸调控足细胞NLRP3/Caspase1经典焦亡通路减缓小鼠局灶节段性肾小球肾炎相关机制</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罗磊</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22019246</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曙光临床医学院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Y2021032</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基于体内过程的清脂化瘀方抗高脂血症的活性成分研究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王玉琳</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22019285</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曙光临床医学院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Y2021033</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基于凝胶中间体特征物理性质与中药凝胶贴膏剂制剂成型质量的相关性研究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朱森发</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22019511</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协同创新中心</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Y2021034</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基于A20/NF-kB信号通路探讨健脾补肾解毒方对骨髓增异常综合征间充质干细胞的调节作用</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汪凯</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12019131</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岳阳临床医学院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Y2021035</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基于Nrf2-ROS-NLRP3炎性小体通路探讨活血潜阳祛痰方干预AngII诱导的心肌纤维化的机制研究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谢君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12019141</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岳阳临床医学院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Y2021036</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靛玉红、人参皂苷Rg1调控结肠上皮细胞焦亡改善DSS诱导的溃疡性结肠炎大鼠损伤机制研究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张尔馨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22019291</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岳阳临床医学院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Y2021037</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一种新型医用光敏生物胶对肛瘘治疗作用效果评价</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韩宜霖</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22019296</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岳阳临床医学院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Y2021038</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基于网络药理学探讨生肌化瘀膏治疗糖尿病溃疡作用机制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江静斯</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22019299</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岳阳临床医学院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Y2021039</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基于Wnt/</w:t>
            </w:r>
            <w:r>
              <w:rPr>
                <w:rFonts w:hint="eastAsia" w:ascii="宋体" w:hAnsi="宋体" w:eastAsia="宋体" w:cs="宋体"/>
                <w:i w:val="0"/>
                <w:color w:val="0D0D0D"/>
                <w:spacing w:val="20"/>
                <w:kern w:val="0"/>
                <w:sz w:val="20"/>
                <w:szCs w:val="20"/>
                <w:u w:val="none"/>
                <w:lang w:val="en-US" w:eastAsia="zh-CN" w:bidi="ar"/>
              </w:rPr>
              <w:t>β-catenin 信号通路探索芩珠凉血合剂对银屑病样小鼠表皮干细胞增殖分化的影响</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张硕</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22019302</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岳阳临床医学院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Y2021040</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艾灸介导Wnt/β-catenin信号通路调控结直肠癌免疫炎症微环境中的机制研究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韩冬</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22019313</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岳阳临床医学院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Y2021041</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槐耳清膏对原发性肝癌大鼠肠道菌群的调节作用</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张宇灵</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22019336</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岳阳临床医学院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Y2021042</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不同大鼠固定器应激反应评价及新型大鼠固定器的研发</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陈柳</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22019338</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岳阳临床医学院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Y2021043</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以小见大，见微知著——皮肤镜下的舌诊研究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冯心怡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72019143</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岳阳临床医学院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Y2021044</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补肾活血方通过 PI3K/Akt/NF-κB通路抑制卵巢颗粒细胞凋亡改善卵巢功能的机制研究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倪瑞珺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72019152</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岳阳临床医学院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Y2021045</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人参皂苷Rg3对人子宫内膜异位症异位内膜细胞生长的影响</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曹敏</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2014711017</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岳阳临床医学院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Y2021046</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穴区胞外ATP快速检测法的建立及在针刺镇痛机制中的应用</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李雨佳</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22019042</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针灸推拿学院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Y2021047</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聚多巴胺包覆PLGA纳米粒共载黄芩苷和米诺地尔毛囊靶向递药用于雄激素性脱发的治疗</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何泽慧</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12019030</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中药学院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Y2021048</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基于rpn-10免疫调控通路的白术内酯Ⅰ抗线虫衰老药效学与机制研究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张丽君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22019072</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中药学院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Y2021049</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基于关键流变学属性的白芨多糖-双网络新型水凝胶材料用于伤口敷料的应用基础研究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项金曦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22019085</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中药学院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shd w:val="clear" w:color="auto" w:fill="auto"/>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Y2021050</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生脉饮改善气阴两虚型糖尿病的 配伍作用机理研究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李琴琴</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22019136</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中药研究所</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96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Y2021051</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泽漆汤活性成分羽扇豆醇通过下调</w:t>
            </w:r>
            <w:r>
              <w:rPr>
                <w:rFonts w:hint="eastAsia" w:ascii="宋体" w:hAnsi="宋体" w:eastAsia="宋体" w:cs="宋体"/>
                <w:i w:val="0"/>
                <w:color w:val="000000"/>
                <w:spacing w:val="20"/>
                <w:kern w:val="0"/>
                <w:sz w:val="20"/>
                <w:szCs w:val="20"/>
                <w:u w:val="none"/>
                <w:lang w:val="en-US" w:eastAsia="zh-CN" w:bidi="ar"/>
              </w:rPr>
              <w:br w:type="textWrapping"/>
            </w:r>
            <w:r>
              <w:rPr>
                <w:rFonts w:hint="eastAsia" w:ascii="宋体" w:hAnsi="宋体" w:eastAsia="宋体" w:cs="宋体"/>
                <w:i w:val="0"/>
                <w:color w:val="000000"/>
                <w:spacing w:val="20"/>
                <w:kern w:val="0"/>
                <w:sz w:val="20"/>
                <w:szCs w:val="20"/>
                <w:u w:val="none"/>
                <w:lang w:val="en-US" w:eastAsia="zh-CN" w:bidi="ar"/>
              </w:rPr>
              <w:t>STAT3/S100A9/mTOR信号通路阻断G-MDSCs增殖抑制非小细胞肺癌的机制研究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朱杨壮壮</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12020001</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基础医学院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Y2021052</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宣肺通腑化瘀方治疗肺纤维化的网络药理与分子对接分析</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卫博凯</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22020007</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基础医学院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Y2021053</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基于生物、化学和机械多元传感器的中药安慰剂口感综合评价技术研究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吴梅</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12020178</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创新中药研究院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Y2021054</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源于中药石斛9，10-二氢菲骨架的高效构筑及抗肿瘤活性研究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张富茂</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22020588</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 xml:space="preserve">创新中药研究院 </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Y2021055</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新冠肺炎疫情背景下上海市公立医院经济运行和补偿状况分析</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李雪莹</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22020451</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公共健康学院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Y2021056</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耳穴经皮电刺激迷走神经辅助治疗类风湿关节炎的临床疗效观察</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孟晓辉</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12020148</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光华临床医学院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Y2021057</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强直性脊柱炎的中药处方用药规律挖掘及相关网络药理学分析</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姜平</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12020149</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光华临床医学院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Y2021058</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基于临床力学要求设计一款腰椎融合内固定术后可调节腰托</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王吉庆</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72020238</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光华临床医学院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Y2021059</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基于DDAH1通路探究中药土三七诱发的肝窦阻塞综合征的发病机制及一贯煎的干预作用</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高思琦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22018415</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交叉科学研究院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Y2021060</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基于“肠道微生态-胆汁酸-脂肪”轴五味子酯甲改善肥胖代谢表型的机制研究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余生兰</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22018440</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交叉科学研究院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Y2021061</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 xml:space="preserve">基于近红外脑功能成像进行磁共振导航定位下重复经颅磁刺激治疗脑卒中后失语症的研究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李浩正</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22020428</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康复医学院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Y2021062</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中医药文化创意产业的现状分析和发展策略</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吴佳颖</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22020525</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科技人文研究院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Y2021063</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基于分子对接技术探讨三阴方干预三阴性乳腺癌侵袭转移的作用机制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李斐斐</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12020071</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龙华临床医学院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Y2021064</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基于16S rDNA克隆文库技术的浆细胞性乳腺炎舌苔菌群多样性研究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屠思远</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72020025</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龙华临床医学院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Y2021065</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针刺缓解偏头痛患者焦虑状态的临床疗效研究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朱文妍</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72020054</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龙华临床医学院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Y2021066</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参苓白术散对大肠癌化疗后肠道粘膜屏障的影响</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汪舒云</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22020237</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普陀临床医学院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Y2021067</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酪醇对GK大鼠大血管病变的影响及机理研究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赵维维</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22020369</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普陀临床医学院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Y2021068</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大补肝汤治疗肝阳虚型高血压合并焦虑症、抑郁症的临床疗效研究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朱茂萍</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72020211</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普陀临床医学院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Y2021069</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除消通痹方通过激活皮肤Th17免疫通路治疗糖尿病足真菌感染的作用机制研究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 xml:space="preserve">陈楠  </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12020143</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市中西医结合临床医学院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Y2021070</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基于脾虚证小鼠结肠癌模型探讨脾虚对结肠癌的影响作用</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李诗颖</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22020385</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市中西医结合临床医学院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Y2021071</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茵陈五苓散通过调控SphK1改善对乙酰氨基酚肝毒性的作用机制研究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张家祺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22020391</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市中西医结合临床医学院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Y2021072</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在“健脾益肾”治法指导下针刺治疗大肠癌患者的随机对照研究机器炎性机制的初步探讨</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杜美璐</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12020139</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市中医临床医学院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Y2021073</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 xml:space="preserve">橘井泉香——海派中医视频平台建设 </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胡可心</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22020349</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市中医临床医学院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Y2021074</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健脾通络方上调NF2/Merlin抑制结直肠癌侵袭转移的作用研究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刘怡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22020350</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市中医临床医学院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Y2021075</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基于NF-Κb/COX-2通路探讨半夏提取物减轻冠心病大鼠心肌损伤的机制研究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梁雅婷</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22020359</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市中医临床医学院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Y2021076</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可加热保温手套的研发及其在类风湿关节炎患者晨僵中的应用</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穆文方</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22020365</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市中医临床医学院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Y2021077</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基于WNT/β-catenin通路探讨祛湿化瘀方通过保护肠血管屏障治疗非酒精性脂肪性肝病的作用机制研究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孙沁梅</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12020083</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曙光临床医学院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Y2021078</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鹿红方调控AT1-CARP通路抑制心肌梗死后心衰小鼠心室重构的作用机制研究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郭佳莹</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12020091</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曙光临床医学院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Y2021079</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青蒿琥酯通过AREG-EGFR信号通路减轻胆汁淤积性肝损伤的机制探讨</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李萌</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22018254</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曙光临床医学院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Y2021080</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基于GLP-1通路探讨肝糖异方调控肝细胞氧化应激及胰岛素抵抗的机制研究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皮亚妮</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22020279</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曙光临床医学院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Y2021081</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基于高通量测序对高血压前期人群肠道菌群的研究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于宁</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12020173</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协同创新中心</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Y2021082</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基于因人制宜理论探析新冠肺炎方证及用药规律的可视化分析</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赵鹏宇</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22020531</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协同创新中心</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Y2021083</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 xml:space="preserve">基于线粒体ROS/NLRP3信号通路探讨温和灸足三里改善老年慢性肾功能下降的机制研究 </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焦丹丽</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12020024</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针灸推拿学院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Y2021084</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“疏肝泻胆针法”对HCC癌痛镇痛的疗效研究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顾启超</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2015814014</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针灸推拿学院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Y2021085</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藤黄酸纳米制剂抗肿瘤作用及其抑制血管生长研究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曾瑞峰</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12020038</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中药学院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Y2021086</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与PVPVA/NH4HCO3共喷雾干燥的物理改性中药粉体及其片剂性能改善机制研究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高雅婷</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22020061</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中药学院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Y2021087</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骆驼蓬抗党参根腐病植物源农药的开发与作用机制研究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朱梓豪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12020044</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中药研究所</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Y2021088</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基于MAP2介导的细胞微管稳态和刚性探讨蜡菊亭抑制胃癌转移作用及机制研究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余明珠</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22020137</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中药研究所</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Y2021089</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泽泻三萜激动FXR治疗肝损伤的构效关系研究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张祎</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22020146</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中药研究所</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r>
        <w:tblPrEx>
          <w:tblCellMar>
            <w:top w:w="0" w:type="dxa"/>
            <w:left w:w="0" w:type="dxa"/>
            <w:bottom w:w="0" w:type="dxa"/>
            <w:right w:w="0" w:type="dxa"/>
          </w:tblCellMar>
        </w:tblPrEx>
        <w:trPr>
          <w:trHeight w:val="72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Y2021090</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野百合碱调控肿瘤自噬相关因子（Beclin 1）增加NSCLC细胞耐药敏感性的机制研究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娄雨晴</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22019518</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上海健康医学院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不拨款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Y2021091</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二氢杨梅素抗脑缺血灌注损伤的作用及机制研究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杨越旺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22019542</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上海健康医学院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不拨款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1.5</w:t>
            </w:r>
          </w:p>
        </w:tc>
      </w:tr>
      <w:tr>
        <w:tblPrEx>
          <w:tblCellMar>
            <w:top w:w="0" w:type="dxa"/>
            <w:left w:w="0" w:type="dxa"/>
            <w:bottom w:w="0" w:type="dxa"/>
            <w:right w:w="0" w:type="dxa"/>
          </w:tblCellMar>
        </w:tblPrEx>
        <w:trPr>
          <w:trHeight w:val="480"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Y2021092</w:t>
            </w:r>
          </w:p>
        </w:tc>
        <w:tc>
          <w:tcPr>
            <w:tcW w:w="1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认知行为疗法对冠心病介入手术患者焦虑抑郁的应用研究</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黄海韵</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22020562</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上海健康医学院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pacing w:val="20"/>
                <w:kern w:val="0"/>
                <w:sz w:val="20"/>
                <w:szCs w:val="20"/>
                <w:u w:val="none"/>
                <w:lang w:val="en-US" w:eastAsia="zh-CN" w:bidi="ar"/>
              </w:rPr>
              <w:t>不拨款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20"/>
                <w:kern w:val="0"/>
                <w:sz w:val="22"/>
                <w:szCs w:val="22"/>
                <w:u w:val="none"/>
                <w:lang w:val="en-US" w:eastAsia="zh-CN" w:bidi="ar"/>
              </w:rPr>
              <w:t>2</w:t>
            </w:r>
          </w:p>
        </w:tc>
      </w:tr>
    </w:tbl>
    <w:p>
      <w:pPr>
        <w:spacing w:line="360" w:lineRule="auto"/>
        <w:ind w:right="160" w:firstLine="562" w:firstLineChars="200"/>
        <w:jc w:val="center"/>
        <w:rPr>
          <w:rFonts w:hint="eastAsia" w:ascii="ˎ̥" w:hAnsi="ˎ̥"/>
          <w:b/>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604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AEA"/>
    <w:rsid w:val="00024D98"/>
    <w:rsid w:val="00046BFC"/>
    <w:rsid w:val="000D6F5D"/>
    <w:rsid w:val="00140382"/>
    <w:rsid w:val="001907F3"/>
    <w:rsid w:val="00191542"/>
    <w:rsid w:val="00194292"/>
    <w:rsid w:val="001C2732"/>
    <w:rsid w:val="001C3B71"/>
    <w:rsid w:val="001D5B6F"/>
    <w:rsid w:val="001E08F3"/>
    <w:rsid w:val="001E1507"/>
    <w:rsid w:val="00215702"/>
    <w:rsid w:val="00247D9F"/>
    <w:rsid w:val="0027185F"/>
    <w:rsid w:val="00285F67"/>
    <w:rsid w:val="002A1B88"/>
    <w:rsid w:val="002E2ACF"/>
    <w:rsid w:val="003517CB"/>
    <w:rsid w:val="003C374E"/>
    <w:rsid w:val="003C627B"/>
    <w:rsid w:val="003E7A0E"/>
    <w:rsid w:val="004221E6"/>
    <w:rsid w:val="00437848"/>
    <w:rsid w:val="004457FF"/>
    <w:rsid w:val="004648B5"/>
    <w:rsid w:val="004B1075"/>
    <w:rsid w:val="004E5BDE"/>
    <w:rsid w:val="004F7E20"/>
    <w:rsid w:val="00531D51"/>
    <w:rsid w:val="00533E9D"/>
    <w:rsid w:val="00545D7A"/>
    <w:rsid w:val="005478FA"/>
    <w:rsid w:val="005D5182"/>
    <w:rsid w:val="00605687"/>
    <w:rsid w:val="00670554"/>
    <w:rsid w:val="006743C1"/>
    <w:rsid w:val="006938E1"/>
    <w:rsid w:val="006B6525"/>
    <w:rsid w:val="006D5006"/>
    <w:rsid w:val="0073528D"/>
    <w:rsid w:val="00751513"/>
    <w:rsid w:val="00794898"/>
    <w:rsid w:val="007A63B9"/>
    <w:rsid w:val="007C6D71"/>
    <w:rsid w:val="007F000A"/>
    <w:rsid w:val="007F3FF8"/>
    <w:rsid w:val="00824CE8"/>
    <w:rsid w:val="0087460A"/>
    <w:rsid w:val="00877B16"/>
    <w:rsid w:val="008A3780"/>
    <w:rsid w:val="008C14C2"/>
    <w:rsid w:val="00955F19"/>
    <w:rsid w:val="00961BF3"/>
    <w:rsid w:val="009A28CE"/>
    <w:rsid w:val="009D64BB"/>
    <w:rsid w:val="009E7AAB"/>
    <w:rsid w:val="00A31600"/>
    <w:rsid w:val="00A77D42"/>
    <w:rsid w:val="00AB38E3"/>
    <w:rsid w:val="00AD7E53"/>
    <w:rsid w:val="00AE4998"/>
    <w:rsid w:val="00AF2C3D"/>
    <w:rsid w:val="00B5021B"/>
    <w:rsid w:val="00B942E0"/>
    <w:rsid w:val="00B943C2"/>
    <w:rsid w:val="00BB318B"/>
    <w:rsid w:val="00C50331"/>
    <w:rsid w:val="00CA7970"/>
    <w:rsid w:val="00CD5307"/>
    <w:rsid w:val="00D26B03"/>
    <w:rsid w:val="00D32B24"/>
    <w:rsid w:val="00D57968"/>
    <w:rsid w:val="00DB2FC5"/>
    <w:rsid w:val="00DC2609"/>
    <w:rsid w:val="00DE34E3"/>
    <w:rsid w:val="00DF71C4"/>
    <w:rsid w:val="00EB03B5"/>
    <w:rsid w:val="00EE5DAC"/>
    <w:rsid w:val="00F0568D"/>
    <w:rsid w:val="00F14BAD"/>
    <w:rsid w:val="00F42AEA"/>
    <w:rsid w:val="00FA2627"/>
    <w:rsid w:val="00FA26ED"/>
    <w:rsid w:val="00FC1E01"/>
    <w:rsid w:val="00FE2009"/>
    <w:rsid w:val="0304627B"/>
    <w:rsid w:val="068F3A2C"/>
    <w:rsid w:val="0D6D441E"/>
    <w:rsid w:val="12E5088F"/>
    <w:rsid w:val="1724683A"/>
    <w:rsid w:val="28882C98"/>
    <w:rsid w:val="2A9A694E"/>
    <w:rsid w:val="30456BDC"/>
    <w:rsid w:val="30E4294E"/>
    <w:rsid w:val="465A12E6"/>
    <w:rsid w:val="6D362084"/>
    <w:rsid w:val="71FD410F"/>
    <w:rsid w:val="7D0F7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pacing w:val="20"/>
      <w:kern w:val="2"/>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tLeast"/>
      <w:ind w:left="75" w:right="75"/>
      <w:jc w:val="left"/>
    </w:pPr>
    <w:rPr>
      <w:rFonts w:cs="宋体"/>
      <w:color w:val="555555"/>
      <w:spacing w:val="0"/>
      <w:kern w:val="0"/>
      <w:sz w:val="20"/>
      <w:szCs w:val="20"/>
    </w:rPr>
  </w:style>
  <w:style w:type="character" w:styleId="9">
    <w:name w:val="Strong"/>
    <w:basedOn w:val="8"/>
    <w:qFormat/>
    <w:uiPriority w:val="0"/>
  </w:style>
  <w:style w:type="character" w:styleId="10">
    <w:name w:val="FollowedHyperlink"/>
    <w:basedOn w:val="8"/>
    <w:qFormat/>
    <w:uiPriority w:val="0"/>
    <w:rPr>
      <w:color w:val="0000FF"/>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uiPriority w:val="0"/>
  </w:style>
  <w:style w:type="character" w:styleId="14">
    <w:name w:val="Hyperlink"/>
    <w:basedOn w:val="8"/>
    <w:uiPriority w:val="0"/>
    <w:rPr>
      <w:color w:val="0000FF"/>
      <w:u w:val="single"/>
    </w:rPr>
  </w:style>
  <w:style w:type="character" w:styleId="15">
    <w:name w:val="HTML Code"/>
    <w:basedOn w:val="8"/>
    <w:uiPriority w:val="0"/>
    <w:rPr>
      <w:rFonts w:ascii="Courier New" w:hAnsi="Courier New"/>
      <w:sz w:val="20"/>
    </w:rPr>
  </w:style>
  <w:style w:type="character" w:styleId="16">
    <w:name w:val="HTML Cite"/>
    <w:basedOn w:val="8"/>
    <w:uiPriority w:val="0"/>
  </w:style>
  <w:style w:type="character" w:customStyle="1" w:styleId="17">
    <w:name w:val="批注框文本 Char"/>
    <w:basedOn w:val="8"/>
    <w:link w:val="3"/>
    <w:qFormat/>
    <w:uiPriority w:val="0"/>
    <w:rPr>
      <w:rFonts w:ascii="宋体" w:hAnsi="宋体"/>
      <w:spacing w:val="20"/>
      <w:kern w:val="2"/>
      <w:sz w:val="18"/>
      <w:szCs w:val="18"/>
    </w:rPr>
  </w:style>
  <w:style w:type="character" w:customStyle="1" w:styleId="18">
    <w:name w:val="font21"/>
    <w:basedOn w:val="8"/>
    <w:qFormat/>
    <w:uiPriority w:val="0"/>
    <w:rPr>
      <w:rFonts w:hint="eastAsia" w:ascii="宋体" w:hAnsi="宋体" w:eastAsia="宋体" w:cs="宋体"/>
      <w:color w:val="000000"/>
      <w:sz w:val="20"/>
      <w:szCs w:val="20"/>
      <w:u w:val="none"/>
    </w:rPr>
  </w:style>
  <w:style w:type="character" w:customStyle="1" w:styleId="19">
    <w:name w:val="font31"/>
    <w:basedOn w:val="8"/>
    <w:qFormat/>
    <w:uiPriority w:val="0"/>
    <w:rPr>
      <w:rFonts w:ascii="Helvetica" w:hAnsi="Helvetica" w:eastAsia="Helvetica" w:cs="Helvetica"/>
      <w:color w:val="000000"/>
      <w:sz w:val="20"/>
      <w:szCs w:val="20"/>
      <w:u w:val="none"/>
    </w:rPr>
  </w:style>
  <w:style w:type="character" w:customStyle="1" w:styleId="20">
    <w:name w:val="x-tab-strip-text"/>
    <w:basedOn w:val="8"/>
    <w:qFormat/>
    <w:uiPriority w:val="0"/>
  </w:style>
  <w:style w:type="character" w:customStyle="1" w:styleId="21">
    <w:name w:val="x-tab-strip-text1"/>
    <w:basedOn w:val="8"/>
    <w:uiPriority w:val="0"/>
    <w:rPr>
      <w:rFonts w:ascii="Tahoma" w:hAnsi="Tahoma" w:eastAsia="Tahoma" w:cs="Tahoma"/>
      <w:color w:val="333333"/>
      <w:sz w:val="18"/>
      <w:szCs w:val="18"/>
    </w:rPr>
  </w:style>
  <w:style w:type="character" w:customStyle="1" w:styleId="22">
    <w:name w:val="x-tab-strip-text2"/>
    <w:basedOn w:val="8"/>
    <w:uiPriority w:val="0"/>
  </w:style>
  <w:style w:type="character" w:customStyle="1" w:styleId="23">
    <w:name w:val="x-tab-strip-text3"/>
    <w:basedOn w:val="8"/>
    <w:uiPriority w:val="0"/>
    <w:rPr>
      <w:color w:val="111111"/>
    </w:rPr>
  </w:style>
  <w:style w:type="character" w:customStyle="1" w:styleId="24">
    <w:name w:val="x-tab-strip-text4"/>
    <w:basedOn w:val="8"/>
    <w:qFormat/>
    <w:uiPriority w:val="0"/>
    <w:rPr>
      <w:b/>
      <w:color w:val="333333"/>
    </w:rPr>
  </w:style>
  <w:style w:type="character" w:customStyle="1" w:styleId="25">
    <w:name w:val="x-tab-strip-text5"/>
    <w:basedOn w:val="8"/>
    <w:uiPriority w:val="0"/>
  </w:style>
  <w:style w:type="character" w:customStyle="1" w:styleId="26">
    <w:name w:val="font11"/>
    <w:basedOn w:val="8"/>
    <w:qFormat/>
    <w:uiPriority w:val="0"/>
    <w:rPr>
      <w:rFonts w:hint="eastAsia" w:ascii="宋体" w:hAnsi="宋体" w:eastAsia="宋体" w:cs="宋体"/>
      <w:color w:val="0D0D0D"/>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527</Words>
  <Characters>3007</Characters>
  <Lines>25</Lines>
  <Paragraphs>7</Paragraphs>
  <TotalTime>2</TotalTime>
  <ScaleCrop>false</ScaleCrop>
  <LinksUpToDate>false</LinksUpToDate>
  <CharactersWithSpaces>3527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2018-12-04T10:57:00Z</dcterms:created>
  <dc:creator>User</dc:creator>
  <cp:lastModifiedBy>甜根</cp:lastModifiedBy>
  <cp:lastPrinted>2016-10-11T02:06:00Z</cp:lastPrinted>
  <dcterms:modified xsi:type="dcterms:W3CDTF">2020-12-21T02:36:00Z</dcterms:modified>
  <dc:title>关于公布2012年度上海市博士学位点建设科研项目立项名单的通知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